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8CA7C" w14:textId="2006B10E"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1</w:t>
      </w:r>
    </w:p>
    <w:p w14:paraId="4C4C7BC2" w14:textId="77777777" w:rsidR="00D25796" w:rsidRPr="00D25796" w:rsidRDefault="00D25796" w:rsidP="00D25796">
      <w:pPr>
        <w:spacing w:before="100" w:beforeAutospacing="1" w:after="100" w:afterAutospacing="1" w:line="240" w:lineRule="auto"/>
        <w:outlineLvl w:val="1"/>
        <w:rPr>
          <w:rFonts w:ascii="Times New Roman" w:eastAsia="Times New Roman" w:hAnsi="Times New Roman" w:cs="Times New Roman"/>
          <w:b/>
          <w:bCs/>
          <w:sz w:val="36"/>
          <w:szCs w:val="36"/>
        </w:rPr>
      </w:pPr>
      <w:hyperlink r:id="rId5" w:tooltip="Author's name" w:history="1">
        <w:r w:rsidRPr="00D25796">
          <w:rPr>
            <w:rFonts w:ascii="Times New Roman" w:eastAsia="Times New Roman" w:hAnsi="Times New Roman" w:cs="Times New Roman"/>
            <w:b/>
            <w:bCs/>
            <w:color w:val="0000FF"/>
            <w:sz w:val="36"/>
            <w:szCs w:val="36"/>
            <w:u w:val="single"/>
          </w:rPr>
          <w:t xml:space="preserve">Carolyn Smith </w:t>
        </w:r>
      </w:hyperlink>
    </w:p>
    <w:p w14:paraId="2D34B1F2" w14:textId="77777777" w:rsidR="00D25796" w:rsidRPr="00D25796" w:rsidRDefault="00D25796" w:rsidP="00D25796">
      <w:pPr>
        <w:spacing w:after="0" w:line="240" w:lineRule="auto"/>
        <w:rPr>
          <w:rFonts w:ascii="Times New Roman" w:eastAsia="Times New Roman" w:hAnsi="Times New Roman" w:cs="Times New Roman"/>
          <w:sz w:val="24"/>
          <w:szCs w:val="24"/>
        </w:rPr>
      </w:pPr>
      <w:r w:rsidRPr="00D25796">
        <w:rPr>
          <w:rFonts w:ascii="Times New Roman" w:eastAsia="Times New Roman" w:hAnsi="Times New Roman" w:cs="Times New Roman"/>
          <w:sz w:val="24"/>
          <w:szCs w:val="24"/>
        </w:rPr>
        <w:t xml:space="preserve">Tuesday Oct 27 at 2:45pm </w:t>
      </w:r>
    </w:p>
    <w:p w14:paraId="599B5D0A" w14:textId="77777777" w:rsidR="00D25796" w:rsidRPr="00D25796" w:rsidRDefault="00D25796" w:rsidP="00D2579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D25796">
        <w:rPr>
          <w:rFonts w:ascii="Times New Roman" w:eastAsia="Times New Roman" w:hAnsi="Times New Roman" w:cs="Times New Roman"/>
          <w:sz w:val="24"/>
          <w:szCs w:val="24"/>
        </w:rPr>
        <w:t>Discuss culturally responsive strategies that optimize participation of students and their families in transition planning.</w:t>
      </w:r>
    </w:p>
    <w:p w14:paraId="384D3774" w14:textId="77777777" w:rsidR="00D25796" w:rsidRPr="00D25796" w:rsidRDefault="00D25796" w:rsidP="00D25796">
      <w:pPr>
        <w:spacing w:before="100" w:beforeAutospacing="1" w:after="100" w:afterAutospacing="1" w:line="240" w:lineRule="auto"/>
        <w:rPr>
          <w:rFonts w:ascii="Times New Roman" w:eastAsia="Times New Roman" w:hAnsi="Times New Roman" w:cs="Times New Roman"/>
          <w:sz w:val="24"/>
          <w:szCs w:val="24"/>
        </w:rPr>
      </w:pPr>
      <w:r w:rsidRPr="00D25796">
        <w:rPr>
          <w:rFonts w:ascii="Times New Roman" w:eastAsia="Times New Roman" w:hAnsi="Times New Roman" w:cs="Times New Roman"/>
          <w:sz w:val="24"/>
          <w:szCs w:val="24"/>
        </w:rPr>
        <w:t>The strengths and resources of each family must be understood from the family perspective (</w:t>
      </w:r>
      <w:proofErr w:type="spellStart"/>
      <w:r w:rsidRPr="00D25796">
        <w:rPr>
          <w:rFonts w:ascii="Times New Roman" w:eastAsia="Times New Roman" w:hAnsi="Times New Roman" w:cs="Times New Roman"/>
          <w:sz w:val="24"/>
          <w:szCs w:val="24"/>
        </w:rPr>
        <w:t>Flexer</w:t>
      </w:r>
      <w:proofErr w:type="spellEnd"/>
      <w:r w:rsidRPr="00D25796">
        <w:rPr>
          <w:rFonts w:ascii="Times New Roman" w:eastAsia="Times New Roman" w:hAnsi="Times New Roman" w:cs="Times New Roman"/>
          <w:sz w:val="24"/>
          <w:szCs w:val="24"/>
        </w:rPr>
        <w:t xml:space="preserve">, Baer, </w:t>
      </w:r>
      <w:proofErr w:type="spellStart"/>
      <w:r w:rsidRPr="00D25796">
        <w:rPr>
          <w:rFonts w:ascii="Times New Roman" w:eastAsia="Times New Roman" w:hAnsi="Times New Roman" w:cs="Times New Roman"/>
          <w:sz w:val="24"/>
          <w:szCs w:val="24"/>
        </w:rPr>
        <w:t>Fuft</w:t>
      </w:r>
      <w:proofErr w:type="spellEnd"/>
      <w:r w:rsidRPr="00D25796">
        <w:rPr>
          <w:rFonts w:ascii="Times New Roman" w:eastAsia="Times New Roman" w:hAnsi="Times New Roman" w:cs="Times New Roman"/>
          <w:sz w:val="24"/>
          <w:szCs w:val="24"/>
        </w:rPr>
        <w:t>, and Simmons 2013).  When asking the family for their input, this can help with the writing and implementation of goals that the student needs to be successful when transitioning.  There is no signal set of rules nor does one size fit all when working with culturally diverse families.  According to (</w:t>
      </w:r>
      <w:proofErr w:type="spellStart"/>
      <w:r w:rsidRPr="00D25796">
        <w:rPr>
          <w:rFonts w:ascii="Times New Roman" w:eastAsia="Times New Roman" w:hAnsi="Times New Roman" w:cs="Times New Roman"/>
          <w:sz w:val="24"/>
          <w:szCs w:val="24"/>
        </w:rPr>
        <w:t>Flexer</w:t>
      </w:r>
      <w:proofErr w:type="spellEnd"/>
      <w:r w:rsidRPr="00D25796">
        <w:rPr>
          <w:rFonts w:ascii="Times New Roman" w:eastAsia="Times New Roman" w:hAnsi="Times New Roman" w:cs="Times New Roman"/>
          <w:sz w:val="24"/>
          <w:szCs w:val="24"/>
        </w:rPr>
        <w:t>, et al., 2013), there are six strategies that can optimize the participation of families in transition planning.  First is the awareness of culture-related issues, identification of personal values regarding adult life, perception of family values, congruence and incongruence among educator, communication with family, and reflection on family meeting and future plans (</w:t>
      </w:r>
      <w:proofErr w:type="spellStart"/>
      <w:r w:rsidRPr="00D25796">
        <w:rPr>
          <w:rFonts w:ascii="Times New Roman" w:eastAsia="Times New Roman" w:hAnsi="Times New Roman" w:cs="Times New Roman"/>
          <w:sz w:val="24"/>
          <w:szCs w:val="24"/>
        </w:rPr>
        <w:t>Flexer</w:t>
      </w:r>
      <w:proofErr w:type="spellEnd"/>
      <w:r w:rsidRPr="00D25796">
        <w:rPr>
          <w:rFonts w:ascii="Times New Roman" w:eastAsia="Times New Roman" w:hAnsi="Times New Roman" w:cs="Times New Roman"/>
          <w:sz w:val="24"/>
          <w:szCs w:val="24"/>
        </w:rPr>
        <w:t>, et al., 2013)</w:t>
      </w:r>
    </w:p>
    <w:p w14:paraId="5C5E974F" w14:textId="0555296C"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2</w:t>
      </w:r>
    </w:p>
    <w:p w14:paraId="4988E246" w14:textId="77777777" w:rsidR="00D25796" w:rsidRPr="00D25796" w:rsidRDefault="00D25796" w:rsidP="00D25796">
      <w:pPr>
        <w:spacing w:before="100" w:beforeAutospacing="1" w:after="100" w:afterAutospacing="1" w:line="240" w:lineRule="auto"/>
        <w:outlineLvl w:val="1"/>
        <w:rPr>
          <w:rFonts w:ascii="Times New Roman" w:eastAsia="Times New Roman" w:hAnsi="Times New Roman" w:cs="Times New Roman"/>
          <w:b/>
          <w:bCs/>
          <w:sz w:val="36"/>
          <w:szCs w:val="36"/>
        </w:rPr>
      </w:pPr>
      <w:hyperlink r:id="rId6" w:tooltip="Author's name" w:history="1">
        <w:r w:rsidRPr="00D25796">
          <w:rPr>
            <w:rFonts w:ascii="Times New Roman" w:eastAsia="Times New Roman" w:hAnsi="Times New Roman" w:cs="Times New Roman"/>
            <w:b/>
            <w:bCs/>
            <w:color w:val="0000FF"/>
            <w:sz w:val="36"/>
            <w:szCs w:val="36"/>
            <w:u w:val="single"/>
          </w:rPr>
          <w:t xml:space="preserve">April </w:t>
        </w:r>
        <w:proofErr w:type="spellStart"/>
        <w:r w:rsidRPr="00D25796">
          <w:rPr>
            <w:rFonts w:ascii="Times New Roman" w:eastAsia="Times New Roman" w:hAnsi="Times New Roman" w:cs="Times New Roman"/>
            <w:b/>
            <w:bCs/>
            <w:color w:val="0000FF"/>
            <w:sz w:val="36"/>
            <w:szCs w:val="36"/>
            <w:u w:val="single"/>
          </w:rPr>
          <w:t>Schoeneman</w:t>
        </w:r>
        <w:proofErr w:type="spellEnd"/>
        <w:r w:rsidRPr="00D25796">
          <w:rPr>
            <w:rFonts w:ascii="Times New Roman" w:eastAsia="Times New Roman" w:hAnsi="Times New Roman" w:cs="Times New Roman"/>
            <w:b/>
            <w:bCs/>
            <w:color w:val="0000FF"/>
            <w:sz w:val="36"/>
            <w:szCs w:val="36"/>
            <w:u w:val="single"/>
          </w:rPr>
          <w:t xml:space="preserve"> </w:t>
        </w:r>
      </w:hyperlink>
    </w:p>
    <w:p w14:paraId="235D802E" w14:textId="77777777" w:rsidR="00D25796" w:rsidRPr="00D25796" w:rsidRDefault="00D25796" w:rsidP="00D25796">
      <w:pPr>
        <w:spacing w:after="0" w:line="240" w:lineRule="auto"/>
        <w:rPr>
          <w:rFonts w:ascii="Times New Roman" w:eastAsia="Times New Roman" w:hAnsi="Times New Roman" w:cs="Times New Roman"/>
          <w:sz w:val="24"/>
          <w:szCs w:val="24"/>
        </w:rPr>
      </w:pPr>
      <w:r w:rsidRPr="00D25796">
        <w:rPr>
          <w:rFonts w:ascii="Times New Roman" w:eastAsia="Times New Roman" w:hAnsi="Times New Roman" w:cs="Times New Roman"/>
          <w:sz w:val="24"/>
          <w:szCs w:val="24"/>
        </w:rPr>
        <w:t xml:space="preserve">Wednesday Oct 28 at 7:14pm </w:t>
      </w:r>
    </w:p>
    <w:p w14:paraId="550B3C00" w14:textId="77777777" w:rsidR="00D25796" w:rsidRPr="00D25796" w:rsidRDefault="00D25796" w:rsidP="00D2579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D25796">
        <w:rPr>
          <w:rFonts w:ascii="Times New Roman" w:eastAsia="Times New Roman" w:hAnsi="Times New Roman" w:cs="Times New Roman"/>
          <w:sz w:val="24"/>
          <w:szCs w:val="24"/>
        </w:rPr>
        <w:t>Discuss culturally responsive strategies that optimize participation of students and their families in transition planning.</w:t>
      </w:r>
    </w:p>
    <w:p w14:paraId="2B09BD4B" w14:textId="77777777" w:rsidR="00D25796" w:rsidRPr="00D25796" w:rsidRDefault="00D25796" w:rsidP="00D25796">
      <w:pPr>
        <w:spacing w:before="100" w:beforeAutospacing="1" w:after="100" w:afterAutospacing="1" w:line="240" w:lineRule="auto"/>
        <w:rPr>
          <w:rFonts w:ascii="Times New Roman" w:eastAsia="Times New Roman" w:hAnsi="Times New Roman" w:cs="Times New Roman"/>
          <w:sz w:val="24"/>
          <w:szCs w:val="24"/>
        </w:rPr>
      </w:pPr>
      <w:r w:rsidRPr="00D25796">
        <w:rPr>
          <w:rFonts w:ascii="Times New Roman" w:eastAsia="Times New Roman" w:hAnsi="Times New Roman" w:cs="Times New Roman"/>
          <w:sz w:val="24"/>
          <w:szCs w:val="24"/>
        </w:rPr>
        <w:t xml:space="preserve">Mainstream culture often dictates the practices of the school IEP process and transition program.  While we value independence and self-reliance, other cultures may not.  Therefore, it is important to recognize this and alter the process where appropriate or possible.  </w:t>
      </w:r>
      <w:proofErr w:type="spellStart"/>
      <w:r w:rsidRPr="00D25796">
        <w:rPr>
          <w:rFonts w:ascii="Times New Roman" w:eastAsia="Times New Roman" w:hAnsi="Times New Roman" w:cs="Times New Roman"/>
          <w:sz w:val="24"/>
          <w:szCs w:val="24"/>
        </w:rPr>
        <w:t>Flexer</w:t>
      </w:r>
      <w:proofErr w:type="spellEnd"/>
      <w:r w:rsidRPr="00D25796">
        <w:rPr>
          <w:rFonts w:ascii="Times New Roman" w:eastAsia="Times New Roman" w:hAnsi="Times New Roman" w:cs="Times New Roman"/>
          <w:sz w:val="24"/>
          <w:szCs w:val="24"/>
        </w:rPr>
        <w:t>, et al. states that it is “necessary to understand the resources and strengths of each family situation from their perspective” (2013, p.54).  It is important to develop cultural competence by fostering understanding and respect for cultures and ethnic backgrounds and their impact on team members. A critical step is to establish a trusting relationship with the family.  A home visit, spending extended time with them, and making a long-term commitment when possible are ways to develop this trust.  It is also helpful to gradually solicit information, negotiate differences by providing a variety of options, and explaining rationale in a culturally appropriate way (</w:t>
      </w:r>
      <w:proofErr w:type="spellStart"/>
      <w:r w:rsidRPr="00D25796">
        <w:rPr>
          <w:rFonts w:ascii="Times New Roman" w:eastAsia="Times New Roman" w:hAnsi="Times New Roman" w:cs="Times New Roman"/>
          <w:sz w:val="24"/>
          <w:szCs w:val="24"/>
        </w:rPr>
        <w:t>Flexer</w:t>
      </w:r>
      <w:proofErr w:type="spellEnd"/>
      <w:r w:rsidRPr="00D25796">
        <w:rPr>
          <w:rFonts w:ascii="Times New Roman" w:eastAsia="Times New Roman" w:hAnsi="Times New Roman" w:cs="Times New Roman"/>
          <w:sz w:val="24"/>
          <w:szCs w:val="24"/>
        </w:rPr>
        <w:t>, et al., 2013).</w:t>
      </w:r>
    </w:p>
    <w:p w14:paraId="2FAFB24D" w14:textId="77777777" w:rsidR="00D25796" w:rsidRPr="00D25796" w:rsidRDefault="00D25796" w:rsidP="00D25796">
      <w:pPr>
        <w:spacing w:before="100" w:beforeAutospacing="1" w:after="100" w:afterAutospacing="1" w:line="240" w:lineRule="auto"/>
        <w:rPr>
          <w:rFonts w:ascii="Times New Roman" w:eastAsia="Times New Roman" w:hAnsi="Times New Roman" w:cs="Times New Roman"/>
          <w:sz w:val="24"/>
          <w:szCs w:val="24"/>
        </w:rPr>
      </w:pPr>
      <w:proofErr w:type="spellStart"/>
      <w:r w:rsidRPr="00D25796">
        <w:rPr>
          <w:rFonts w:ascii="Times New Roman" w:eastAsia="Times New Roman" w:hAnsi="Times New Roman" w:cs="Times New Roman"/>
          <w:sz w:val="24"/>
          <w:szCs w:val="24"/>
        </w:rPr>
        <w:t>Flexer</w:t>
      </w:r>
      <w:proofErr w:type="spellEnd"/>
      <w:r w:rsidRPr="00D25796">
        <w:rPr>
          <w:rFonts w:ascii="Times New Roman" w:eastAsia="Times New Roman" w:hAnsi="Times New Roman" w:cs="Times New Roman"/>
          <w:sz w:val="24"/>
          <w:szCs w:val="24"/>
        </w:rPr>
        <w:t xml:space="preserve"> et al. lists six principles that can be applied to culturally diverse transition planning.  These are “1. Addressing differences in definitions and interpretations of disability; 2. Accepting differences in family coping styles and responses to disability-related stress; 3. Accommodating differences in parental interaction styles and expectations for participation and </w:t>
      </w:r>
      <w:r w:rsidRPr="00D25796">
        <w:rPr>
          <w:rFonts w:ascii="Times New Roman" w:eastAsia="Times New Roman" w:hAnsi="Times New Roman" w:cs="Times New Roman"/>
          <w:sz w:val="24"/>
          <w:szCs w:val="24"/>
        </w:rPr>
        <w:lastRenderedPageBreak/>
        <w:t>advocacy; 4. Accommodating and equalizing differential access to information and services; 5. Preventing and addressing negative professional attitudes to, and perceptions of, families’ roles in educational processes; and 6. Overcoming dissonances in the fit of educational and transition programs” (2013, p. 65).  Applying these strategies and principles should help optimize student and family participation in transition planning.</w:t>
      </w:r>
    </w:p>
    <w:p w14:paraId="2F22C444" w14:textId="77777777" w:rsidR="00D25796" w:rsidRDefault="00D25796"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3AEED36B" w14:textId="77777777"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1349C45B" w14:textId="50A20007"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3</w:t>
      </w:r>
    </w:p>
    <w:p w14:paraId="400A3DCE" w14:textId="77777777" w:rsidR="00D25796" w:rsidRDefault="00D25796" w:rsidP="00D25796">
      <w:pPr>
        <w:pStyle w:val="Heading2"/>
      </w:pPr>
      <w:hyperlink r:id="rId7" w:tooltip="Author's name" w:history="1">
        <w:r>
          <w:rPr>
            <w:rStyle w:val="Hyperlink"/>
          </w:rPr>
          <w:t xml:space="preserve">Mazal Behar </w:t>
        </w:r>
      </w:hyperlink>
    </w:p>
    <w:p w14:paraId="63F1E006" w14:textId="77777777" w:rsidR="00D25796" w:rsidRDefault="00D25796" w:rsidP="00D25796">
      <w:r>
        <w:t xml:space="preserve">Thursday </w:t>
      </w:r>
      <w:r>
        <w:rPr>
          <w:rStyle w:val="screenreader-only"/>
        </w:rPr>
        <w:t>Oct 29 at 11:12pm</w:t>
      </w:r>
      <w:r>
        <w:t xml:space="preserve"> </w:t>
      </w:r>
    </w:p>
    <w:p w14:paraId="512C3E5D" w14:textId="77777777" w:rsidR="00D25796" w:rsidRDefault="00D25796" w:rsidP="00D25796">
      <w:pPr>
        <w:pStyle w:val="NormalWeb"/>
      </w:pPr>
      <w:r>
        <w:rPr>
          <w:i/>
          <w:iCs/>
        </w:rPr>
        <w:t>After reading this article, put yourself in the position of the “parent” of a high school student with a disability and share your feelings about the significance of each of the five errors in relation to you and your child.</w:t>
      </w:r>
    </w:p>
    <w:p w14:paraId="29615D1D" w14:textId="77777777" w:rsidR="00D25796" w:rsidRDefault="00D25796" w:rsidP="00D25796">
      <w:pPr>
        <w:pStyle w:val="NormalWeb"/>
      </w:pPr>
      <w:r>
        <w:t> </w:t>
      </w:r>
    </w:p>
    <w:p w14:paraId="173DE785" w14:textId="77777777" w:rsidR="00D25796" w:rsidRDefault="00D25796" w:rsidP="00D25796">
      <w:pPr>
        <w:pStyle w:val="NormalWeb"/>
      </w:pPr>
      <w:r>
        <w:t xml:space="preserve">The article, </w:t>
      </w:r>
      <w:r>
        <w:rPr>
          <w:i/>
          <w:iCs/>
        </w:rPr>
        <w:t xml:space="preserve">Avoiding Substantive Errors in Individualized Education Program Development (2016), </w:t>
      </w:r>
      <w:r>
        <w:t>examines the five common errors that could potentially hinder academic and behavioral progress. These unfortunate mistakes may lead to the denial of a student’s free appropriate public education (FAPE). School IEP team members need to understand the importance of procedural and substantive requirements of the IEP, have an awareness of the five serious errors that IEP teams may potentially make, and have the knowledge to avoid and correct these errors if they may occur (Yell et al, 2016).</w:t>
      </w:r>
      <w:r>
        <w:rPr>
          <w:rStyle w:val="apple-converted-space"/>
        </w:rPr>
        <w:t> </w:t>
      </w:r>
    </w:p>
    <w:p w14:paraId="3CE7A5D2" w14:textId="77777777" w:rsidR="00D25796" w:rsidRDefault="00D25796" w:rsidP="00D25796">
      <w:pPr>
        <w:pStyle w:val="NormalWeb"/>
      </w:pPr>
      <w:r>
        <w:t>It is essential that ESE educators understand and acknowledge the unfortunate errors that may be present when creating and implementing IEP goals. According to Yell et al. (2016), the first common pertains to the initial assessment process, which is,</w:t>
      </w:r>
      <w:r>
        <w:rPr>
          <w:rStyle w:val="apple-converted-space"/>
        </w:rPr>
        <w:t xml:space="preserve">  </w:t>
      </w:r>
      <w:r>
        <w:t>“Failing to conduct a complete individualized assessment.” As required by the IDEA, students are entitled to receive a full comprehensive assessment. Ultimately, the evaluation procedure will determine whether the child has a disability under the IDEA and if special education will be needed. As Yell et al (2016) clarifies, the evaluation must address all areas of need, even if the area does not seem to be related to a student’s suspected disability. The purpose of the IEP is to provide eligible students with the opportunity to make progress in all needed domains. However, without a complete and individualized assessment of all suspected needs, the student is at risk for receiving an incomplete IEP. As</w:t>
      </w:r>
      <w:r>
        <w:rPr>
          <w:rStyle w:val="apple-converted-space"/>
        </w:rPr>
        <w:t xml:space="preserve">  </w:t>
      </w:r>
      <w:r>
        <w:t xml:space="preserve">Yell et al. (2016) explains, it is common to find that evaluation procedures mostly focus on the child’s eligibility for entrance into ESE programs. Unfortunately, little emphasis is given to conducting assessments that focus on the student’s priority educational needs. The first step in ensuring all needed information for developing adequate IEPs in </w:t>
      </w:r>
      <w:r>
        <w:lastRenderedPageBreak/>
        <w:t>verifying that all necessary assessments have been conducted during the evaluation process (Yell et al., 2016).</w:t>
      </w:r>
      <w:r>
        <w:rPr>
          <w:rStyle w:val="apple-converted-space"/>
        </w:rPr>
        <w:t> </w:t>
      </w:r>
    </w:p>
    <w:p w14:paraId="1DD12E3A" w14:textId="77777777" w:rsidR="00D25796" w:rsidRDefault="00D25796" w:rsidP="00D25796">
      <w:pPr>
        <w:pStyle w:val="NormalWeb"/>
      </w:pPr>
      <w:r>
        <w:t>The second error that is addressed by the article is, “Failing to address all of a student’s needs in the PLAAFP.”</w:t>
      </w:r>
      <w:r>
        <w:rPr>
          <w:rStyle w:val="apple-converted-space"/>
        </w:rPr>
        <w:t xml:space="preserve">  </w:t>
      </w:r>
      <w:r>
        <w:t>Assessments are used to assist educators in determining the academic or behavioral components which need to be addressed in the IEP. After all student assessment data has been collected, educators will create statements which align with the student’s present level of academic achievement and functional performance (PLAAFP). If a student’s needs are not identified or missed on the PLAAFP statement, a serious content problem, and probable denial of FAPE may have occurred. This is because the PLAAFP statement is the foundation for creating and designing effective student IEP goals. It is important that special educators and administers understand the value of the PLAAFP so that they can develop realistic and achievable goals (Yell et al., 2016).</w:t>
      </w:r>
    </w:p>
    <w:p w14:paraId="7CE71EBD" w14:textId="77777777" w:rsidR="00D25796" w:rsidRDefault="00D25796" w:rsidP="00D25796">
      <w:pPr>
        <w:pStyle w:val="NormalWeb"/>
      </w:pPr>
      <w:r>
        <w:t>The IDEA requires that the IEP include a statement of measurable annual goals, including academic and functional goals designed to address the individualized needs of the student. The annual goals are intended to describe what the student will achieve in a 12 month period, when provided with special education services. The purpose of measurable goals is to help multidisciplinary teams determine whether the student is being provided with the appropriate education to make sufficient progress toward the goal. Furthermore, well written goals allow teachers to monitor a student daily progress and make the needed educational adjustments when needed. As Yell et al. (2016) states a common error that may occur amongst special educators and administrators, is “failing to write ambitious measurable goals.” Unfortunately, this results in educators and administrators writing IEP goals that are neither meaningful or measurable, which results in a denial of FAPE and violation of IDEA. In order to make the goals effective and to see the child’s improvement, the IEP team should consider all the components of the child’s success. This includes looking at the academic, behavioral, functional, social, and vocational elements. The IEP team should review as much data as possible so that they can determine if the student is suspected to reach annual goals. This includes looking at standardized tests, classroom grades, work samples, and observations. The more comprehensive and intensive</w:t>
      </w:r>
      <w:r>
        <w:rPr>
          <w:rStyle w:val="apple-converted-space"/>
        </w:rPr>
        <w:t xml:space="preserve">  </w:t>
      </w:r>
      <w:r>
        <w:t>the data, the higher confidence educators will have in ensuring the goals are measurable and achievable. As Yell et al. (2016) writes it is essential to ensure that a student’s IEP goals are ambitious, clear, and measurable. An effective IEP goal should include; the condition, learner, behavior, and criteria.</w:t>
      </w:r>
      <w:r>
        <w:rPr>
          <w:rStyle w:val="apple-converted-space"/>
        </w:rPr>
        <w:t> </w:t>
      </w:r>
    </w:p>
    <w:p w14:paraId="4993374A" w14:textId="77777777" w:rsidR="00D25796" w:rsidRDefault="00D25796" w:rsidP="00D25796">
      <w:pPr>
        <w:pStyle w:val="NormalWeb"/>
      </w:pPr>
      <w:r>
        <w:t>“Failing to provide comprehensive special education services,” is another common error that may occur in school settings. The IDEA requires that the IEP include a statement of the special education and related services and supplementary aids and services, based on peer-reviewed research. The purpose of these statements is to clarify what a school will do to help the student advance towards reaching his annual goals and be involved in and make progress in the general education curriculum. There are important components to the provision of special education services. The goals must be individualized and based on the PLAAFP statement and the IEP team must clearly state the frequency, duration, and location of services. The IEP must include the special education services, related services, supplementary</w:t>
      </w:r>
      <w:r>
        <w:rPr>
          <w:rStyle w:val="apple-converted-space"/>
        </w:rPr>
        <w:t xml:space="preserve">  </w:t>
      </w:r>
      <w:r>
        <w:t>aids and services, and program modifications which are based on peer-reviewed research. Additionally, the services must be implemented as written in the student’s IEP.</w:t>
      </w:r>
      <w:r>
        <w:rPr>
          <w:rStyle w:val="apple-converted-space"/>
        </w:rPr>
        <w:t xml:space="preserve">  </w:t>
      </w:r>
      <w:r>
        <w:t xml:space="preserve">As stated by Yell et al. (2016), all school personnel have the responsibility to implement the IEP as agreed upon by the student’s parents and school </w:t>
      </w:r>
      <w:r>
        <w:lastRenderedPageBreak/>
        <w:t>personnel. Educators should be able to differentiate between the interventions are peer-reviewed and those that are not. Implementing research based methods and using the strategies in the student’s curriculum has a higher possibility to result in educational benefit (Yell et al, 2016).</w:t>
      </w:r>
    </w:p>
    <w:p w14:paraId="2FBCEAD3" w14:textId="77777777" w:rsidR="00D25796" w:rsidRDefault="00D25796" w:rsidP="00D25796">
      <w:pPr>
        <w:pStyle w:val="NormalWeb"/>
      </w:pPr>
      <w:r>
        <w:t>The final error is “failing to monitor student progress.” Progress monitoring is used to assess a student’s performance, quantify his or her rate of improvement or responsiveness to intervention, adjust the student instructional curriculum to make it more suited to the student’s needs, and evaluate the effectiveness of the intervention. As required by the IDEA, teachers must provide a description as to how a student’s progress towards annual goals will be measured. Educators must also include a statement stating when periodic reports describing the student’s progress will be given to the parents. Without a set method to monitor student progress there is no way for teachers and parents to know whether the student is benefiting from special education services or achieving annual goals. Therefore, it is imperative that progress monitoring begin by first determining which measurements will be used to assess the student’s progress. Yell et al. (2016) suggests using different assessment tools that are compatible with the type of data to be measured. These alternating assessment tools allow teachers to monitor their student’s progress effectively and regularly (Yell et al., 2016)</w:t>
      </w:r>
    </w:p>
    <w:p w14:paraId="7D896B6D" w14:textId="77777777" w:rsidR="00D25796" w:rsidRDefault="00D25796" w:rsidP="00D25796">
      <w:pPr>
        <w:pStyle w:val="NormalWeb"/>
      </w:pPr>
      <w:r>
        <w:t>If I were to place myself in the position of a parent of a high school student with a disability, I would do my best to advocate for my child to make sure that he is receiving every resource to meet his IEP goals. I would demand that my child be properly assessed so that effective PLAAFP can be formulated. It would be frustrating as a parent to realize that because my child didn’t receive an accurate assessment he is not being provided with effective IEP goals that are aligned with his current academic and behavioral performance. I would fight to ensure that my child’s IEP includes measurable and achievable goals along with the related services to see improvement. I would like there to be open communication amongst educators and professionals to update me, as the parent, on the child’s progress and create new goals if necessary to help my child improve. The parent is the child’s best advocate and the teacher-parent relationship is the child’s key to success.</w:t>
      </w:r>
      <w:r>
        <w:rPr>
          <w:rStyle w:val="apple-converted-space"/>
        </w:rPr>
        <w:t> </w:t>
      </w:r>
    </w:p>
    <w:p w14:paraId="0FFE848B" w14:textId="1BEB3F71"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4</w:t>
      </w:r>
    </w:p>
    <w:p w14:paraId="29134C00" w14:textId="77777777" w:rsidR="00D25796" w:rsidRDefault="00D25796" w:rsidP="00D25796">
      <w:pPr>
        <w:pStyle w:val="Heading2"/>
      </w:pPr>
      <w:hyperlink r:id="rId8" w:tooltip="Author's name" w:history="1">
        <w:r>
          <w:rPr>
            <w:rStyle w:val="Hyperlink"/>
          </w:rPr>
          <w:t xml:space="preserve">Joseph Jean-Pierre </w:t>
        </w:r>
      </w:hyperlink>
    </w:p>
    <w:p w14:paraId="64575B63" w14:textId="77777777" w:rsidR="00D25796" w:rsidRDefault="00D25796" w:rsidP="00D25796">
      <w:r>
        <w:t xml:space="preserve">Yesterday </w:t>
      </w:r>
      <w:r>
        <w:rPr>
          <w:rStyle w:val="screenreader-only"/>
        </w:rPr>
        <w:t>Oct 31 at 6:58pm</w:t>
      </w:r>
      <w:r>
        <w:t xml:space="preserve"> </w:t>
      </w:r>
    </w:p>
    <w:p w14:paraId="0659D86F" w14:textId="77777777" w:rsidR="00D25796" w:rsidRDefault="00D25796" w:rsidP="00D25796">
      <w:pPr>
        <w:pStyle w:val="NormalWeb"/>
      </w:pPr>
      <w:r>
        <w:t>Joseph R. Jean-Pierre</w:t>
      </w:r>
    </w:p>
    <w:p w14:paraId="3FD0CA47" w14:textId="77777777" w:rsidR="00D25796" w:rsidRDefault="00D25796" w:rsidP="00D25796">
      <w:pPr>
        <w:pStyle w:val="NormalWeb"/>
      </w:pPr>
      <w:r>
        <w:t>ESE 514 Transition: Teaching Interpersonal and Post-Secondary Life Skills</w:t>
      </w:r>
    </w:p>
    <w:p w14:paraId="47ECE939" w14:textId="77777777" w:rsidR="00D25796" w:rsidRDefault="00D25796" w:rsidP="00D25796">
      <w:pPr>
        <w:pStyle w:val="NormalWeb"/>
      </w:pPr>
      <w:r>
        <w:t>Module 2: Reflection 1—Article—Avoiding Substantive Errors in Individualized Education Program Development</w:t>
      </w:r>
    </w:p>
    <w:p w14:paraId="66BC0AF8" w14:textId="77777777" w:rsidR="00D25796" w:rsidRDefault="00D25796" w:rsidP="00D25796">
      <w:pPr>
        <w:pStyle w:val="NormalWeb"/>
      </w:pPr>
      <w:r>
        <w:t>10/29/2020</w:t>
      </w:r>
    </w:p>
    <w:p w14:paraId="56FDAF13" w14:textId="77777777" w:rsidR="00D25796" w:rsidRDefault="00D25796" w:rsidP="00D25796">
      <w:pPr>
        <w:pStyle w:val="NormalWeb"/>
      </w:pPr>
      <w:r>
        <w:lastRenderedPageBreak/>
        <w:t>                 My Feelings about the Significance of the 5 Errors in Relation to me and my Child</w:t>
      </w:r>
    </w:p>
    <w:p w14:paraId="5D3243B8" w14:textId="77777777" w:rsidR="00D25796" w:rsidRDefault="00D25796" w:rsidP="00D25796">
      <w:pPr>
        <w:pStyle w:val="NormalWeb"/>
      </w:pPr>
      <w:r>
        <w:t>        If I was the parent of Shannon, I would probably place her in a private school for students with learning difficulties and subsequently, file a lawsuit against the school district, sue for tuition reimbursement and attorney’s fees for not providing to my child a free and appropriate public education (FAPE), which is defined as special education and related services that first, have been provided at public expense, under public supervision and direction, and without charge; second, meet standards of the State educational agency; third, include an appropriate preschool, elementary, or secondary school education in the state involved; and lastly, are provided in conformity with the individualized education program. (PL 108-466, Sec.601 [d])</w:t>
      </w:r>
    </w:p>
    <w:p w14:paraId="6C5CBF2F" w14:textId="77777777" w:rsidR="00D25796" w:rsidRDefault="00D25796" w:rsidP="00D25796">
      <w:pPr>
        <w:pStyle w:val="NormalWeb"/>
      </w:pPr>
      <w:r>
        <w:t xml:space="preserve">        The school fail to conduct a complete and individualized assessment for my child. Based on research conducted by Yell, </w:t>
      </w:r>
      <w:proofErr w:type="spellStart"/>
      <w:r>
        <w:t>Katsiyannis</w:t>
      </w:r>
      <w:proofErr w:type="spellEnd"/>
      <w:r>
        <w:t xml:space="preserve">, Ennis, </w:t>
      </w:r>
      <w:proofErr w:type="spellStart"/>
      <w:r>
        <w:t>Losinski</w:t>
      </w:r>
      <w:proofErr w:type="spellEnd"/>
      <w:r>
        <w:t xml:space="preserve">, and </w:t>
      </w:r>
      <w:proofErr w:type="spellStart"/>
      <w:r>
        <w:t>Christle</w:t>
      </w:r>
      <w:proofErr w:type="spellEnd"/>
      <w:r>
        <w:t xml:space="preserve"> (2016), IDEA requires that schools conduct a full and individual initial evaluation that will assist the IEP team to plan a student’s program of special education and related services. A relevant assessment of all of a student’s needs is the first step in program development, and the assessment of a student is the foundation for the rest of the IEP. To the extent that a student’s assessment is incomplete, inaccurate, or outdated, the student’s IEP will also be inadequate. The assessment of the student’s performance reveals the unique educational needs that must be addressed in the IEP. These assessment data are then used to develop statements regarding the student’s present levels of academic achievement and functional performance. If all of a student’s needs identified in the assessment are not included the PLAAFP statements, a serious content problem, and probable denial of FAPE, may have occurred. This is because the PLAAFP statements will become the basis of the goals and services that will follow. The IEP must stand solidly and squarely on a foundation of current, accurate assessments of the student’s level of performance in academic and functional areas.</w:t>
      </w:r>
    </w:p>
    <w:p w14:paraId="3D1F6A02" w14:textId="77777777" w:rsidR="00D25796" w:rsidRDefault="00D25796" w:rsidP="00D25796">
      <w:pPr>
        <w:pStyle w:val="NormalWeb"/>
      </w:pPr>
      <w:r>
        <w:t>        Moreover, according to the authors of the article, IDEA requires that the IEP include a statement of measurable annual goals, including academic and functional goals, designed to meet the child’s needs that result from the child’s disability to enable the child to be involved in and make progress in the general education curriculum; and meet each of the child’s other educational needs that result from the child’s disability. (IDEA, Section 1414 [d]) Annual goals are intended to describe what the student is reasonably expected to accomplish in a 12-month period when provided with appropriate special education services.</w:t>
      </w:r>
    </w:p>
    <w:p w14:paraId="793292FC" w14:textId="77777777" w:rsidR="00D25796" w:rsidRDefault="00D25796" w:rsidP="00D25796">
      <w:pPr>
        <w:pStyle w:val="NormalWeb"/>
      </w:pPr>
      <w:r>
        <w:t xml:space="preserve">        Furthermore, the school fail to provide my Child comprehensive special education services. IDEA requires that IEPs include “a statement of the special education and related services and supplementary aids and services, based on peer-reviewed research to the extent practicable, to be provided to the child, or on behalf of the child, and a statement of the program modifications or supports for school personnel that will be provided for the child (Yell, </w:t>
      </w:r>
      <w:proofErr w:type="spellStart"/>
      <w:r>
        <w:t>Katsiyannis</w:t>
      </w:r>
      <w:proofErr w:type="spellEnd"/>
      <w:r>
        <w:t xml:space="preserve">, Ennis, </w:t>
      </w:r>
      <w:proofErr w:type="spellStart"/>
      <w:r>
        <w:t>Losinski</w:t>
      </w:r>
      <w:proofErr w:type="spellEnd"/>
      <w:r>
        <w:t xml:space="preserve">, and </w:t>
      </w:r>
      <w:proofErr w:type="spellStart"/>
      <w:r>
        <w:t>Christle</w:t>
      </w:r>
      <w:proofErr w:type="spellEnd"/>
      <w:r>
        <w:t>, 2016).</w:t>
      </w:r>
    </w:p>
    <w:p w14:paraId="243DB998" w14:textId="77777777" w:rsidR="00D25796" w:rsidRDefault="00D25796" w:rsidP="00D25796">
      <w:pPr>
        <w:pStyle w:val="NormalWeb"/>
      </w:pPr>
      <w:r>
        <w:t xml:space="preserve">        Finally, the school fail to monitor my child’s progress. According to the National Center on Intensive Intervention (2016), progress monitoring is used to first, assess a student’s performance; second, quantify his or her rate of improvement or responsiveness to intervention; third, adjust the student’s instructional program to make it more effective and suited to the </w:t>
      </w:r>
      <w:r>
        <w:lastRenderedPageBreak/>
        <w:t xml:space="preserve">student’s needs; and finally, evaluate the effectiveness of the intervention. IDEA requires a description of how a student’s progress toward meeting the annual goals will be measured and when periodic reports will be given to parents on the progress the student is making toward meeting the annual goals. Monitoring the student’s progress is essential in determining whether the student is adequately progressing on his or her goals and receiving FAPE. Without a method to monitor progress, there is no way of knowing whether students are actually benefiting from the special education services they are receiving (Yell, </w:t>
      </w:r>
      <w:proofErr w:type="spellStart"/>
      <w:r>
        <w:t>Katsiyannis</w:t>
      </w:r>
      <w:proofErr w:type="spellEnd"/>
      <w:r>
        <w:t xml:space="preserve">, Ennis, </w:t>
      </w:r>
      <w:proofErr w:type="spellStart"/>
      <w:r>
        <w:t>Losinski</w:t>
      </w:r>
      <w:proofErr w:type="spellEnd"/>
      <w:r>
        <w:t xml:space="preserve">, and </w:t>
      </w:r>
      <w:proofErr w:type="spellStart"/>
      <w:r>
        <w:t>Christle</w:t>
      </w:r>
      <w:proofErr w:type="spellEnd"/>
      <w:r>
        <w:t>, 2016).</w:t>
      </w:r>
    </w:p>
    <w:p w14:paraId="2AED9BDB" w14:textId="77777777" w:rsidR="00D25796" w:rsidRDefault="00D25796" w:rsidP="008E5584">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bookmarkEnd w:id="0"/>
    </w:p>
    <w:p w14:paraId="6D6F3348" w14:textId="77777777" w:rsidR="0019525D" w:rsidRDefault="0019525D"/>
    <w:sectPr w:rsidR="00195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93A"/>
    <w:multiLevelType w:val="multilevel"/>
    <w:tmpl w:val="9258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1B4921"/>
    <w:multiLevelType w:val="multilevel"/>
    <w:tmpl w:val="57C82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570265"/>
    <w:multiLevelType w:val="multilevel"/>
    <w:tmpl w:val="2F900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E0064C"/>
    <w:multiLevelType w:val="multilevel"/>
    <w:tmpl w:val="A2424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683BD5"/>
    <w:multiLevelType w:val="multilevel"/>
    <w:tmpl w:val="3E68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A83FF3"/>
    <w:multiLevelType w:val="multilevel"/>
    <w:tmpl w:val="1B92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84"/>
    <w:rsid w:val="0019525D"/>
    <w:rsid w:val="008E5584"/>
    <w:rsid w:val="00D25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2C62"/>
  <w15:chartTrackingRefBased/>
  <w15:docId w15:val="{0B780DE3-9F64-4A5E-8D32-FFB9CE93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D2579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5796"/>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D25796"/>
    <w:rPr>
      <w:color w:val="0000FF"/>
      <w:u w:val="single"/>
    </w:rPr>
  </w:style>
  <w:style w:type="character" w:customStyle="1" w:styleId="screenreader-only">
    <w:name w:val="screenreader-only"/>
    <w:basedOn w:val="DefaultParagraphFont"/>
    <w:rsid w:val="00D25796"/>
  </w:style>
  <w:style w:type="paragraph" w:styleId="NormalWeb">
    <w:name w:val="Normal (Web)"/>
    <w:basedOn w:val="Normal"/>
    <w:uiPriority w:val="99"/>
    <w:semiHidden/>
    <w:unhideWhenUsed/>
    <w:rsid w:val="00D25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25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582725">
      <w:bodyDiv w:val="1"/>
      <w:marLeft w:val="0"/>
      <w:marRight w:val="0"/>
      <w:marTop w:val="0"/>
      <w:marBottom w:val="0"/>
      <w:divBdr>
        <w:top w:val="none" w:sz="0" w:space="0" w:color="auto"/>
        <w:left w:val="none" w:sz="0" w:space="0" w:color="auto"/>
        <w:bottom w:val="none" w:sz="0" w:space="0" w:color="auto"/>
        <w:right w:val="none" w:sz="0" w:space="0" w:color="auto"/>
      </w:divBdr>
      <w:divsChild>
        <w:div w:id="994409702">
          <w:marLeft w:val="0"/>
          <w:marRight w:val="0"/>
          <w:marTop w:val="0"/>
          <w:marBottom w:val="0"/>
          <w:divBdr>
            <w:top w:val="none" w:sz="0" w:space="0" w:color="auto"/>
            <w:left w:val="none" w:sz="0" w:space="0" w:color="auto"/>
            <w:bottom w:val="none" w:sz="0" w:space="0" w:color="auto"/>
            <w:right w:val="none" w:sz="0" w:space="0" w:color="auto"/>
          </w:divBdr>
          <w:divsChild>
            <w:div w:id="972833875">
              <w:marLeft w:val="0"/>
              <w:marRight w:val="0"/>
              <w:marTop w:val="0"/>
              <w:marBottom w:val="0"/>
              <w:divBdr>
                <w:top w:val="none" w:sz="0" w:space="0" w:color="auto"/>
                <w:left w:val="none" w:sz="0" w:space="0" w:color="auto"/>
                <w:bottom w:val="none" w:sz="0" w:space="0" w:color="auto"/>
                <w:right w:val="none" w:sz="0" w:space="0" w:color="auto"/>
              </w:divBdr>
            </w:div>
          </w:divsChild>
        </w:div>
        <w:div w:id="1095251442">
          <w:marLeft w:val="0"/>
          <w:marRight w:val="0"/>
          <w:marTop w:val="0"/>
          <w:marBottom w:val="0"/>
          <w:divBdr>
            <w:top w:val="none" w:sz="0" w:space="0" w:color="auto"/>
            <w:left w:val="none" w:sz="0" w:space="0" w:color="auto"/>
            <w:bottom w:val="none" w:sz="0" w:space="0" w:color="auto"/>
            <w:right w:val="none" w:sz="0" w:space="0" w:color="auto"/>
          </w:divBdr>
          <w:divsChild>
            <w:div w:id="158232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04996">
      <w:bodyDiv w:val="1"/>
      <w:marLeft w:val="0"/>
      <w:marRight w:val="0"/>
      <w:marTop w:val="0"/>
      <w:marBottom w:val="0"/>
      <w:divBdr>
        <w:top w:val="none" w:sz="0" w:space="0" w:color="auto"/>
        <w:left w:val="none" w:sz="0" w:space="0" w:color="auto"/>
        <w:bottom w:val="none" w:sz="0" w:space="0" w:color="auto"/>
        <w:right w:val="none" w:sz="0" w:space="0" w:color="auto"/>
      </w:divBdr>
      <w:divsChild>
        <w:div w:id="1850409132">
          <w:marLeft w:val="0"/>
          <w:marRight w:val="0"/>
          <w:marTop w:val="0"/>
          <w:marBottom w:val="0"/>
          <w:divBdr>
            <w:top w:val="none" w:sz="0" w:space="0" w:color="auto"/>
            <w:left w:val="none" w:sz="0" w:space="0" w:color="auto"/>
            <w:bottom w:val="none" w:sz="0" w:space="0" w:color="auto"/>
            <w:right w:val="none" w:sz="0" w:space="0" w:color="auto"/>
          </w:divBdr>
          <w:divsChild>
            <w:div w:id="1279919821">
              <w:marLeft w:val="0"/>
              <w:marRight w:val="0"/>
              <w:marTop w:val="0"/>
              <w:marBottom w:val="0"/>
              <w:divBdr>
                <w:top w:val="none" w:sz="0" w:space="0" w:color="auto"/>
                <w:left w:val="none" w:sz="0" w:space="0" w:color="auto"/>
                <w:bottom w:val="none" w:sz="0" w:space="0" w:color="auto"/>
                <w:right w:val="none" w:sz="0" w:space="0" w:color="auto"/>
              </w:divBdr>
            </w:div>
          </w:divsChild>
        </w:div>
        <w:div w:id="21327610">
          <w:marLeft w:val="0"/>
          <w:marRight w:val="0"/>
          <w:marTop w:val="0"/>
          <w:marBottom w:val="0"/>
          <w:divBdr>
            <w:top w:val="none" w:sz="0" w:space="0" w:color="auto"/>
            <w:left w:val="none" w:sz="0" w:space="0" w:color="auto"/>
            <w:bottom w:val="none" w:sz="0" w:space="0" w:color="auto"/>
            <w:right w:val="none" w:sz="0" w:space="0" w:color="auto"/>
          </w:divBdr>
          <w:divsChild>
            <w:div w:id="945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966364">
      <w:bodyDiv w:val="1"/>
      <w:marLeft w:val="0"/>
      <w:marRight w:val="0"/>
      <w:marTop w:val="0"/>
      <w:marBottom w:val="0"/>
      <w:divBdr>
        <w:top w:val="none" w:sz="0" w:space="0" w:color="auto"/>
        <w:left w:val="none" w:sz="0" w:space="0" w:color="auto"/>
        <w:bottom w:val="none" w:sz="0" w:space="0" w:color="auto"/>
        <w:right w:val="none" w:sz="0" w:space="0" w:color="auto"/>
      </w:divBdr>
      <w:divsChild>
        <w:div w:id="2089497683">
          <w:marLeft w:val="0"/>
          <w:marRight w:val="0"/>
          <w:marTop w:val="0"/>
          <w:marBottom w:val="0"/>
          <w:divBdr>
            <w:top w:val="none" w:sz="0" w:space="0" w:color="auto"/>
            <w:left w:val="none" w:sz="0" w:space="0" w:color="auto"/>
            <w:bottom w:val="none" w:sz="0" w:space="0" w:color="auto"/>
            <w:right w:val="none" w:sz="0" w:space="0" w:color="auto"/>
          </w:divBdr>
          <w:divsChild>
            <w:div w:id="2032880365">
              <w:marLeft w:val="0"/>
              <w:marRight w:val="0"/>
              <w:marTop w:val="0"/>
              <w:marBottom w:val="0"/>
              <w:divBdr>
                <w:top w:val="none" w:sz="0" w:space="0" w:color="auto"/>
                <w:left w:val="none" w:sz="0" w:space="0" w:color="auto"/>
                <w:bottom w:val="none" w:sz="0" w:space="0" w:color="auto"/>
                <w:right w:val="none" w:sz="0" w:space="0" w:color="auto"/>
              </w:divBdr>
            </w:div>
          </w:divsChild>
        </w:div>
        <w:div w:id="2052613372">
          <w:marLeft w:val="0"/>
          <w:marRight w:val="0"/>
          <w:marTop w:val="0"/>
          <w:marBottom w:val="0"/>
          <w:divBdr>
            <w:top w:val="none" w:sz="0" w:space="0" w:color="auto"/>
            <w:left w:val="none" w:sz="0" w:space="0" w:color="auto"/>
            <w:bottom w:val="none" w:sz="0" w:space="0" w:color="auto"/>
            <w:right w:val="none" w:sz="0" w:space="0" w:color="auto"/>
          </w:divBdr>
          <w:divsChild>
            <w:div w:id="167198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1532">
      <w:bodyDiv w:val="1"/>
      <w:marLeft w:val="0"/>
      <w:marRight w:val="0"/>
      <w:marTop w:val="0"/>
      <w:marBottom w:val="0"/>
      <w:divBdr>
        <w:top w:val="none" w:sz="0" w:space="0" w:color="auto"/>
        <w:left w:val="none" w:sz="0" w:space="0" w:color="auto"/>
        <w:bottom w:val="none" w:sz="0" w:space="0" w:color="auto"/>
        <w:right w:val="none" w:sz="0" w:space="0" w:color="auto"/>
      </w:divBdr>
      <w:divsChild>
        <w:div w:id="294413589">
          <w:marLeft w:val="0"/>
          <w:marRight w:val="0"/>
          <w:marTop w:val="0"/>
          <w:marBottom w:val="0"/>
          <w:divBdr>
            <w:top w:val="none" w:sz="0" w:space="0" w:color="auto"/>
            <w:left w:val="none" w:sz="0" w:space="0" w:color="auto"/>
            <w:bottom w:val="none" w:sz="0" w:space="0" w:color="auto"/>
            <w:right w:val="none" w:sz="0" w:space="0" w:color="auto"/>
          </w:divBdr>
          <w:divsChild>
            <w:div w:id="1648246759">
              <w:marLeft w:val="0"/>
              <w:marRight w:val="0"/>
              <w:marTop w:val="0"/>
              <w:marBottom w:val="0"/>
              <w:divBdr>
                <w:top w:val="none" w:sz="0" w:space="0" w:color="auto"/>
                <w:left w:val="none" w:sz="0" w:space="0" w:color="auto"/>
                <w:bottom w:val="none" w:sz="0" w:space="0" w:color="auto"/>
                <w:right w:val="none" w:sz="0" w:space="0" w:color="auto"/>
              </w:divBdr>
            </w:div>
          </w:divsChild>
        </w:div>
        <w:div w:id="525144664">
          <w:marLeft w:val="0"/>
          <w:marRight w:val="0"/>
          <w:marTop w:val="0"/>
          <w:marBottom w:val="0"/>
          <w:divBdr>
            <w:top w:val="none" w:sz="0" w:space="0" w:color="auto"/>
            <w:left w:val="none" w:sz="0" w:space="0" w:color="auto"/>
            <w:bottom w:val="none" w:sz="0" w:space="0" w:color="auto"/>
            <w:right w:val="none" w:sz="0" w:space="0" w:color="auto"/>
          </w:divBdr>
          <w:divsChild>
            <w:div w:id="5589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828030">
      <w:bodyDiv w:val="1"/>
      <w:marLeft w:val="0"/>
      <w:marRight w:val="0"/>
      <w:marTop w:val="0"/>
      <w:marBottom w:val="0"/>
      <w:divBdr>
        <w:top w:val="none" w:sz="0" w:space="0" w:color="auto"/>
        <w:left w:val="none" w:sz="0" w:space="0" w:color="auto"/>
        <w:bottom w:val="none" w:sz="0" w:space="0" w:color="auto"/>
        <w:right w:val="none" w:sz="0" w:space="0" w:color="auto"/>
      </w:divBdr>
      <w:divsChild>
        <w:div w:id="1197544992">
          <w:marLeft w:val="0"/>
          <w:marRight w:val="0"/>
          <w:marTop w:val="0"/>
          <w:marBottom w:val="0"/>
          <w:divBdr>
            <w:top w:val="none" w:sz="0" w:space="0" w:color="auto"/>
            <w:left w:val="none" w:sz="0" w:space="0" w:color="auto"/>
            <w:bottom w:val="none" w:sz="0" w:space="0" w:color="auto"/>
            <w:right w:val="none" w:sz="0" w:space="0" w:color="auto"/>
          </w:divBdr>
          <w:divsChild>
            <w:div w:id="1983582358">
              <w:marLeft w:val="0"/>
              <w:marRight w:val="0"/>
              <w:marTop w:val="0"/>
              <w:marBottom w:val="0"/>
              <w:divBdr>
                <w:top w:val="none" w:sz="0" w:space="0" w:color="auto"/>
                <w:left w:val="none" w:sz="0" w:space="0" w:color="auto"/>
                <w:bottom w:val="none" w:sz="0" w:space="0" w:color="auto"/>
                <w:right w:val="none" w:sz="0" w:space="0" w:color="auto"/>
              </w:divBdr>
            </w:div>
          </w:divsChild>
        </w:div>
        <w:div w:id="1654600856">
          <w:marLeft w:val="0"/>
          <w:marRight w:val="0"/>
          <w:marTop w:val="0"/>
          <w:marBottom w:val="0"/>
          <w:divBdr>
            <w:top w:val="none" w:sz="0" w:space="0" w:color="auto"/>
            <w:left w:val="none" w:sz="0" w:space="0" w:color="auto"/>
            <w:bottom w:val="none" w:sz="0" w:space="0" w:color="auto"/>
            <w:right w:val="none" w:sz="0" w:space="0" w:color="auto"/>
          </w:divBdr>
          <w:divsChild>
            <w:div w:id="13682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4306">
      <w:bodyDiv w:val="1"/>
      <w:marLeft w:val="0"/>
      <w:marRight w:val="0"/>
      <w:marTop w:val="0"/>
      <w:marBottom w:val="0"/>
      <w:divBdr>
        <w:top w:val="none" w:sz="0" w:space="0" w:color="auto"/>
        <w:left w:val="none" w:sz="0" w:space="0" w:color="auto"/>
        <w:bottom w:val="none" w:sz="0" w:space="0" w:color="auto"/>
        <w:right w:val="none" w:sz="0" w:space="0" w:color="auto"/>
      </w:divBdr>
      <w:divsChild>
        <w:div w:id="1060324657">
          <w:marLeft w:val="0"/>
          <w:marRight w:val="0"/>
          <w:marTop w:val="0"/>
          <w:marBottom w:val="0"/>
          <w:divBdr>
            <w:top w:val="none" w:sz="0" w:space="0" w:color="auto"/>
            <w:left w:val="none" w:sz="0" w:space="0" w:color="auto"/>
            <w:bottom w:val="none" w:sz="0" w:space="0" w:color="auto"/>
            <w:right w:val="none" w:sz="0" w:space="0" w:color="auto"/>
          </w:divBdr>
          <w:divsChild>
            <w:div w:id="832332321">
              <w:marLeft w:val="0"/>
              <w:marRight w:val="0"/>
              <w:marTop w:val="0"/>
              <w:marBottom w:val="0"/>
              <w:divBdr>
                <w:top w:val="none" w:sz="0" w:space="0" w:color="auto"/>
                <w:left w:val="none" w:sz="0" w:space="0" w:color="auto"/>
                <w:bottom w:val="none" w:sz="0" w:space="0" w:color="auto"/>
                <w:right w:val="none" w:sz="0" w:space="0" w:color="auto"/>
              </w:divBdr>
            </w:div>
          </w:divsChild>
        </w:div>
        <w:div w:id="163398890">
          <w:marLeft w:val="0"/>
          <w:marRight w:val="0"/>
          <w:marTop w:val="0"/>
          <w:marBottom w:val="0"/>
          <w:divBdr>
            <w:top w:val="none" w:sz="0" w:space="0" w:color="auto"/>
            <w:left w:val="none" w:sz="0" w:space="0" w:color="auto"/>
            <w:bottom w:val="none" w:sz="0" w:space="0" w:color="auto"/>
            <w:right w:val="none" w:sz="0" w:space="0" w:color="auto"/>
          </w:divBdr>
          <w:divsChild>
            <w:div w:id="13566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3448">
      <w:bodyDiv w:val="1"/>
      <w:marLeft w:val="0"/>
      <w:marRight w:val="0"/>
      <w:marTop w:val="0"/>
      <w:marBottom w:val="0"/>
      <w:divBdr>
        <w:top w:val="none" w:sz="0" w:space="0" w:color="auto"/>
        <w:left w:val="none" w:sz="0" w:space="0" w:color="auto"/>
        <w:bottom w:val="none" w:sz="0" w:space="0" w:color="auto"/>
        <w:right w:val="none" w:sz="0" w:space="0" w:color="auto"/>
      </w:divBdr>
      <w:divsChild>
        <w:div w:id="557859952">
          <w:marLeft w:val="0"/>
          <w:marRight w:val="0"/>
          <w:marTop w:val="0"/>
          <w:marBottom w:val="0"/>
          <w:divBdr>
            <w:top w:val="none" w:sz="0" w:space="0" w:color="auto"/>
            <w:left w:val="none" w:sz="0" w:space="0" w:color="auto"/>
            <w:bottom w:val="none" w:sz="0" w:space="0" w:color="auto"/>
            <w:right w:val="none" w:sz="0" w:space="0" w:color="auto"/>
          </w:divBdr>
          <w:divsChild>
            <w:div w:id="139082957">
              <w:marLeft w:val="0"/>
              <w:marRight w:val="0"/>
              <w:marTop w:val="0"/>
              <w:marBottom w:val="0"/>
              <w:divBdr>
                <w:top w:val="none" w:sz="0" w:space="0" w:color="auto"/>
                <w:left w:val="none" w:sz="0" w:space="0" w:color="auto"/>
                <w:bottom w:val="none" w:sz="0" w:space="0" w:color="auto"/>
                <w:right w:val="none" w:sz="0" w:space="0" w:color="auto"/>
              </w:divBdr>
            </w:div>
          </w:divsChild>
        </w:div>
        <w:div w:id="148137937">
          <w:marLeft w:val="0"/>
          <w:marRight w:val="0"/>
          <w:marTop w:val="0"/>
          <w:marBottom w:val="0"/>
          <w:divBdr>
            <w:top w:val="none" w:sz="0" w:space="0" w:color="auto"/>
            <w:left w:val="none" w:sz="0" w:space="0" w:color="auto"/>
            <w:bottom w:val="none" w:sz="0" w:space="0" w:color="auto"/>
            <w:right w:val="none" w:sz="0" w:space="0" w:color="auto"/>
          </w:divBdr>
          <w:divsChild>
            <w:div w:id="17107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1329">
      <w:bodyDiv w:val="1"/>
      <w:marLeft w:val="0"/>
      <w:marRight w:val="0"/>
      <w:marTop w:val="0"/>
      <w:marBottom w:val="0"/>
      <w:divBdr>
        <w:top w:val="none" w:sz="0" w:space="0" w:color="auto"/>
        <w:left w:val="none" w:sz="0" w:space="0" w:color="auto"/>
        <w:bottom w:val="none" w:sz="0" w:space="0" w:color="auto"/>
        <w:right w:val="none" w:sz="0" w:space="0" w:color="auto"/>
      </w:divBdr>
      <w:divsChild>
        <w:div w:id="1117140706">
          <w:marLeft w:val="0"/>
          <w:marRight w:val="0"/>
          <w:marTop w:val="0"/>
          <w:marBottom w:val="0"/>
          <w:divBdr>
            <w:top w:val="none" w:sz="0" w:space="0" w:color="auto"/>
            <w:left w:val="none" w:sz="0" w:space="0" w:color="auto"/>
            <w:bottom w:val="none" w:sz="0" w:space="0" w:color="auto"/>
            <w:right w:val="none" w:sz="0" w:space="0" w:color="auto"/>
          </w:divBdr>
          <w:divsChild>
            <w:div w:id="1299334791">
              <w:marLeft w:val="0"/>
              <w:marRight w:val="0"/>
              <w:marTop w:val="0"/>
              <w:marBottom w:val="0"/>
              <w:divBdr>
                <w:top w:val="none" w:sz="0" w:space="0" w:color="auto"/>
                <w:left w:val="none" w:sz="0" w:space="0" w:color="auto"/>
                <w:bottom w:val="none" w:sz="0" w:space="0" w:color="auto"/>
                <w:right w:val="none" w:sz="0" w:space="0" w:color="auto"/>
              </w:divBdr>
            </w:div>
          </w:divsChild>
        </w:div>
        <w:div w:id="1466392888">
          <w:marLeft w:val="0"/>
          <w:marRight w:val="0"/>
          <w:marTop w:val="0"/>
          <w:marBottom w:val="0"/>
          <w:divBdr>
            <w:top w:val="none" w:sz="0" w:space="0" w:color="auto"/>
            <w:left w:val="none" w:sz="0" w:space="0" w:color="auto"/>
            <w:bottom w:val="none" w:sz="0" w:space="0" w:color="auto"/>
            <w:right w:val="none" w:sz="0" w:space="0" w:color="auto"/>
          </w:divBdr>
          <w:divsChild>
            <w:div w:id="150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ry.instructure.com/courses/1594300/users/6197489" TargetMode="External"/><Relationship Id="rId3" Type="http://schemas.openxmlformats.org/officeDocument/2006/relationships/settings" Target="settings.xml"/><Relationship Id="rId7" Type="http://schemas.openxmlformats.org/officeDocument/2006/relationships/hyperlink" Target="https://barry.instructure.com/courses/1594300/users/62103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00/users/6209815" TargetMode="External"/><Relationship Id="rId5" Type="http://schemas.openxmlformats.org/officeDocument/2006/relationships/hyperlink" Target="https://barry.instructure.com/courses/1594300/users/620326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2472</Words>
  <Characters>14097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2020-10-23T20:24:00Z</dcterms:created>
  <dcterms:modified xsi:type="dcterms:W3CDTF">2020-11-01T05:12:00Z</dcterms:modified>
</cp:coreProperties>
</file>